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F0E" w:rsidRPr="00661D8A" w:rsidRDefault="00874246" w:rsidP="005A5F0E">
      <w:pPr>
        <w:rPr>
          <w:rFonts w:asciiTheme="minorBidi" w:hAnsiTheme="minorBidi"/>
          <w:b/>
          <w:color w:val="009682"/>
          <w:sz w:val="40"/>
        </w:rPr>
      </w:pPr>
      <w:r w:rsidRPr="00661D8A">
        <w:rPr>
          <w:rFonts w:asciiTheme="minorBidi" w:hAnsiTheme="minorBidi"/>
          <w:b/>
          <w:color w:val="009682"/>
          <w:sz w:val="40"/>
        </w:rPr>
        <w:t>V</w:t>
      </w:r>
      <w:r w:rsidR="005A5F0E" w:rsidRPr="00661D8A">
        <w:rPr>
          <w:rFonts w:asciiTheme="minorBidi" w:hAnsiTheme="minorBidi"/>
          <w:b/>
          <w:color w:val="009682"/>
          <w:sz w:val="40"/>
        </w:rPr>
        <w:t>. EQUITY-Quantitative Analysis</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Equity is a category on its own, and yet it can critically influence </w:t>
      </w:r>
      <w:proofErr w:type="spellStart"/>
      <w:r w:rsidRPr="00661D8A">
        <w:rPr>
          <w:rFonts w:asciiTheme="minorBidi" w:hAnsiTheme="minorBidi"/>
          <w:sz w:val="20"/>
          <w:szCs w:val="20"/>
        </w:rPr>
        <w:t>VfM</w:t>
      </w:r>
      <w:proofErr w:type="spellEnd"/>
      <w:r w:rsidRPr="00661D8A">
        <w:rPr>
          <w:rFonts w:asciiTheme="minorBidi" w:hAnsiTheme="minorBidi"/>
          <w:sz w:val="20"/>
          <w:szCs w:val="20"/>
        </w:rPr>
        <w:t xml:space="preserve">. For example, the sustainability of an intervention (and of its impacts on the long run), is often driven by whether the maximum level of stakeholders feel empowered by an intervention – particularly those who are the most vulnerable. An intervention that enhances inequitable outcomes, and thus potential conflicts (such as, over access to resources) will tend not to be sustainable in the </w:t>
      </w:r>
      <w:proofErr w:type="gramStart"/>
      <w:r w:rsidRPr="00661D8A">
        <w:rPr>
          <w:rFonts w:asciiTheme="minorBidi" w:hAnsiTheme="minorBidi"/>
          <w:sz w:val="20"/>
          <w:szCs w:val="20"/>
        </w:rPr>
        <w:t>long run</w:t>
      </w:r>
      <w:proofErr w:type="gramEnd"/>
      <w:r w:rsidRPr="00661D8A">
        <w:rPr>
          <w:rFonts w:asciiTheme="minorBidi" w:hAnsiTheme="minorBidi"/>
          <w:sz w:val="20"/>
          <w:szCs w:val="20"/>
        </w:rPr>
        <w:t>. An intervention might be economic (</w:t>
      </w:r>
      <w:proofErr w:type="gramStart"/>
      <w:r w:rsidRPr="00661D8A">
        <w:rPr>
          <w:rFonts w:asciiTheme="minorBidi" w:hAnsiTheme="minorBidi"/>
          <w:sz w:val="20"/>
          <w:szCs w:val="20"/>
        </w:rPr>
        <w:t>cost-</w:t>
      </w:r>
      <w:proofErr w:type="spellStart"/>
      <w:r w:rsidRPr="00661D8A">
        <w:rPr>
          <w:rFonts w:asciiTheme="minorBidi" w:hAnsiTheme="minorBidi"/>
          <w:sz w:val="20"/>
          <w:szCs w:val="20"/>
        </w:rPr>
        <w:t>minimising</w:t>
      </w:r>
      <w:proofErr w:type="spellEnd"/>
      <w:proofErr w:type="gramEnd"/>
      <w:r w:rsidRPr="00661D8A">
        <w:rPr>
          <w:rFonts w:asciiTheme="minorBidi" w:hAnsiTheme="minorBidi"/>
          <w:sz w:val="20"/>
          <w:szCs w:val="20"/>
        </w:rPr>
        <w:t xml:space="preserve"> through optimal procurement), efficient (</w:t>
      </w:r>
      <w:proofErr w:type="spellStart"/>
      <w:r w:rsidRPr="00661D8A">
        <w:rPr>
          <w:rFonts w:asciiTheme="minorBidi" w:hAnsiTheme="minorBidi"/>
          <w:sz w:val="20"/>
          <w:szCs w:val="20"/>
        </w:rPr>
        <w:t>maximising</w:t>
      </w:r>
      <w:proofErr w:type="spellEnd"/>
      <w:r w:rsidRPr="00661D8A">
        <w:rPr>
          <w:rFonts w:asciiTheme="minorBidi" w:hAnsiTheme="minorBidi"/>
          <w:sz w:val="20"/>
          <w:szCs w:val="20"/>
        </w:rPr>
        <w:t xml:space="preserve"> outputs for available inputs) and effective (generating the desired change) and yet fail to consider equity. In this </w:t>
      </w:r>
      <w:proofErr w:type="gramStart"/>
      <w:r w:rsidRPr="00661D8A">
        <w:rPr>
          <w:rFonts w:asciiTheme="minorBidi" w:hAnsiTheme="minorBidi"/>
          <w:sz w:val="20"/>
          <w:szCs w:val="20"/>
        </w:rPr>
        <w:t>scenario</w:t>
      </w:r>
      <w:proofErr w:type="gramEnd"/>
      <w:r w:rsidRPr="00661D8A">
        <w:rPr>
          <w:rFonts w:asciiTheme="minorBidi" w:hAnsiTheme="minorBidi"/>
          <w:sz w:val="20"/>
          <w:szCs w:val="20"/>
        </w:rPr>
        <w:t xml:space="preserve"> the intervention may be sustainably vulnerable. </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As a </w:t>
      </w:r>
      <w:proofErr w:type="gramStart"/>
      <w:r w:rsidRPr="00661D8A">
        <w:rPr>
          <w:rFonts w:asciiTheme="minorBidi" w:hAnsiTheme="minorBidi"/>
          <w:sz w:val="20"/>
          <w:szCs w:val="20"/>
        </w:rPr>
        <w:t>cross-cutting</w:t>
      </w:r>
      <w:proofErr w:type="gramEnd"/>
      <w:r w:rsidRPr="00661D8A">
        <w:rPr>
          <w:rFonts w:asciiTheme="minorBidi" w:hAnsiTheme="minorBidi"/>
          <w:sz w:val="20"/>
          <w:szCs w:val="20"/>
        </w:rPr>
        <w:t xml:space="preserve"> element of </w:t>
      </w:r>
      <w:proofErr w:type="spellStart"/>
      <w:r w:rsidRPr="00661D8A">
        <w:rPr>
          <w:rFonts w:asciiTheme="minorBidi" w:hAnsiTheme="minorBidi"/>
          <w:sz w:val="20"/>
          <w:szCs w:val="20"/>
        </w:rPr>
        <w:t>VfM</w:t>
      </w:r>
      <w:proofErr w:type="spellEnd"/>
      <w:r w:rsidRPr="00661D8A">
        <w:rPr>
          <w:rFonts w:asciiTheme="minorBidi" w:hAnsiTheme="minorBidi"/>
          <w:sz w:val="20"/>
          <w:szCs w:val="20"/>
        </w:rPr>
        <w:t>, equity can cover many aspects, from ethical procurement to programmatic decisions, and may work across different levels, such as:</w:t>
      </w:r>
    </w:p>
    <w:p w:rsidR="005A5F0E" w:rsidRPr="00661D8A" w:rsidRDefault="005A5F0E" w:rsidP="00874246">
      <w:pPr>
        <w:pStyle w:val="Bulletpoint"/>
        <w:rPr>
          <w:rFonts w:asciiTheme="minorBidi" w:hAnsiTheme="minorBidi" w:cstheme="minorBidi"/>
          <w:sz w:val="20"/>
          <w:szCs w:val="20"/>
        </w:rPr>
      </w:pPr>
      <w:r w:rsidRPr="00661D8A">
        <w:rPr>
          <w:rFonts w:asciiTheme="minorBidi" w:hAnsiTheme="minorBidi" w:cstheme="minorBidi"/>
          <w:sz w:val="20"/>
          <w:szCs w:val="20"/>
        </w:rPr>
        <w:t xml:space="preserve">At an ‘economy’ level, equity might consist of applying sustainable procurement – the cheapest of sustainable options – rather than choosing the cheapest goods. It can also mean a preference for using local producers compared to global ones (importing goods from richer countries). </w:t>
      </w:r>
    </w:p>
    <w:p w:rsidR="005A5F0E" w:rsidRPr="00661D8A" w:rsidRDefault="005A5F0E" w:rsidP="00874246">
      <w:pPr>
        <w:pStyle w:val="Bulletpoint"/>
        <w:rPr>
          <w:rFonts w:asciiTheme="minorBidi" w:hAnsiTheme="minorBidi" w:cstheme="minorBidi"/>
          <w:sz w:val="20"/>
          <w:szCs w:val="20"/>
        </w:rPr>
      </w:pPr>
      <w:r w:rsidRPr="00661D8A">
        <w:rPr>
          <w:rFonts w:asciiTheme="minorBidi" w:hAnsiTheme="minorBidi" w:cstheme="minorBidi"/>
          <w:sz w:val="20"/>
          <w:szCs w:val="20"/>
        </w:rPr>
        <w:t xml:space="preserve">At an efficiency level, equity might consist of choosing methods of delivering activities that enhance local economies (for example, by employing community members) even though this delivery choice might be more ‘expensive’ per activity undertaken. </w:t>
      </w:r>
    </w:p>
    <w:p w:rsidR="005A5F0E" w:rsidRPr="00661D8A" w:rsidRDefault="005A5F0E" w:rsidP="00874246">
      <w:pPr>
        <w:pStyle w:val="Bulletpoint"/>
        <w:rPr>
          <w:rFonts w:asciiTheme="minorBidi" w:hAnsiTheme="minorBidi" w:cstheme="minorBidi"/>
          <w:sz w:val="20"/>
          <w:szCs w:val="20"/>
        </w:rPr>
      </w:pPr>
      <w:r w:rsidRPr="00661D8A">
        <w:rPr>
          <w:rFonts w:asciiTheme="minorBidi" w:hAnsiTheme="minorBidi" w:cstheme="minorBidi"/>
          <w:sz w:val="20"/>
          <w:szCs w:val="20"/>
        </w:rPr>
        <w:t>At an effectiveness level, equity might consist of putting into the equation the relative impacts of an intervention concerned with different population categories, such as more vulnerable populations or women.</w:t>
      </w:r>
    </w:p>
    <w:p w:rsidR="00661D8A" w:rsidRPr="00661D8A" w:rsidRDefault="005A5F0E" w:rsidP="00661D8A">
      <w:pPr>
        <w:pStyle w:val="Nadpis3"/>
        <w:spacing w:before="120"/>
        <w:rPr>
          <w:rFonts w:asciiTheme="minorBidi" w:hAnsiTheme="minorBidi" w:cstheme="minorBidi"/>
          <w:b/>
          <w:bCs/>
          <w:color w:val="767171" w:themeColor="background2" w:themeShade="80"/>
          <w:sz w:val="32"/>
          <w:szCs w:val="32"/>
        </w:rPr>
      </w:pPr>
      <w:bookmarkStart w:id="0" w:name="_Toc470027606"/>
      <w:r w:rsidRPr="00661D8A">
        <w:rPr>
          <w:rFonts w:asciiTheme="minorBidi" w:hAnsiTheme="minorBidi" w:cstheme="minorBidi"/>
          <w:b/>
          <w:bCs/>
          <w:color w:val="767171" w:themeColor="background2" w:themeShade="80"/>
          <w:sz w:val="32"/>
          <w:szCs w:val="32"/>
        </w:rPr>
        <w:t>Section A: Guidance</w:t>
      </w:r>
      <w:bookmarkEnd w:id="0"/>
    </w:p>
    <w:p w:rsidR="005A5F0E" w:rsidRPr="00661D8A" w:rsidRDefault="005A5F0E" w:rsidP="00661D8A">
      <w:pPr>
        <w:pStyle w:val="Nadpis5"/>
        <w:spacing w:before="120"/>
        <w:rPr>
          <w:rFonts w:asciiTheme="minorBidi" w:hAnsiTheme="minorBidi" w:cstheme="minorBidi"/>
          <w:b/>
          <w:bCs/>
          <w:color w:val="009682"/>
          <w:sz w:val="28"/>
          <w:szCs w:val="28"/>
        </w:rPr>
      </w:pPr>
      <w:r w:rsidRPr="00661D8A">
        <w:rPr>
          <w:rFonts w:asciiTheme="minorBidi" w:hAnsiTheme="minorBidi" w:cstheme="minorBidi"/>
          <w:b/>
          <w:bCs/>
          <w:color w:val="009682"/>
          <w:sz w:val="28"/>
          <w:szCs w:val="28"/>
        </w:rPr>
        <w:t>Step 1</w:t>
      </w:r>
      <w:r w:rsidR="00661D8A">
        <w:rPr>
          <w:rFonts w:asciiTheme="minorBidi" w:hAnsiTheme="minorBidi" w:cstheme="minorBidi"/>
          <w:b/>
          <w:bCs/>
          <w:color w:val="009682"/>
          <w:sz w:val="28"/>
          <w:szCs w:val="28"/>
        </w:rPr>
        <w:t>:</w:t>
      </w:r>
      <w:r w:rsidRPr="00661D8A">
        <w:rPr>
          <w:rFonts w:asciiTheme="minorBidi" w:hAnsiTheme="minorBidi" w:cstheme="minorBidi"/>
          <w:b/>
          <w:bCs/>
          <w:color w:val="009682"/>
          <w:sz w:val="28"/>
          <w:szCs w:val="28"/>
        </w:rPr>
        <w:t xml:space="preserve"> Identify equity components</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In the context in which your </w:t>
      </w:r>
      <w:proofErr w:type="spellStart"/>
      <w:r w:rsidRPr="00661D8A">
        <w:rPr>
          <w:rFonts w:asciiTheme="minorBidi" w:hAnsiTheme="minorBidi"/>
          <w:sz w:val="20"/>
          <w:szCs w:val="20"/>
        </w:rPr>
        <w:t>programme</w:t>
      </w:r>
      <w:proofErr w:type="spellEnd"/>
      <w:r w:rsidRPr="00661D8A">
        <w:rPr>
          <w:rFonts w:asciiTheme="minorBidi" w:hAnsiTheme="minorBidi"/>
          <w:sz w:val="20"/>
          <w:szCs w:val="20"/>
        </w:rPr>
        <w:t xml:space="preserve"> sits, choose up to six equity components to focus on. </w:t>
      </w:r>
      <w:proofErr w:type="gramStart"/>
      <w:r w:rsidRPr="00661D8A">
        <w:rPr>
          <w:rFonts w:asciiTheme="minorBidi" w:hAnsiTheme="minorBidi"/>
          <w:sz w:val="20"/>
          <w:szCs w:val="20"/>
        </w:rPr>
        <w:t>These are often population sub-groups with a particular characteristic that makes them potentially vulnerable.</w:t>
      </w:r>
      <w:proofErr w:type="gramEnd"/>
      <w:r w:rsidRPr="00661D8A">
        <w:rPr>
          <w:rFonts w:asciiTheme="minorBidi" w:hAnsiTheme="minorBidi"/>
          <w:sz w:val="20"/>
          <w:szCs w:val="20"/>
        </w:rPr>
        <w:t xml:space="preserve"> For example, the criteria may be based on place (such as living in an area with high risk of flood), gender, age, health (such as HIV status, disability status), and economic (perhaps income places them at risk of food poverty). </w:t>
      </w:r>
    </w:p>
    <w:p w:rsidR="005A5F0E" w:rsidRPr="00661D8A" w:rsidRDefault="005A5F0E" w:rsidP="00661D8A">
      <w:pPr>
        <w:pStyle w:val="Nadpis5"/>
        <w:rPr>
          <w:rFonts w:asciiTheme="minorBidi" w:hAnsiTheme="minorBidi" w:cstheme="minorBidi"/>
          <w:b/>
          <w:bCs/>
          <w:color w:val="009682"/>
          <w:sz w:val="28"/>
          <w:szCs w:val="28"/>
        </w:rPr>
      </w:pPr>
      <w:r w:rsidRPr="00661D8A">
        <w:rPr>
          <w:rFonts w:asciiTheme="minorBidi" w:hAnsiTheme="minorBidi" w:cstheme="minorBidi"/>
          <w:b/>
          <w:bCs/>
          <w:color w:val="009682"/>
          <w:sz w:val="28"/>
          <w:szCs w:val="28"/>
        </w:rPr>
        <w:t>Step 2</w:t>
      </w:r>
      <w:r w:rsidR="00661D8A">
        <w:rPr>
          <w:rFonts w:asciiTheme="minorBidi" w:hAnsiTheme="minorBidi" w:cstheme="minorBidi"/>
          <w:b/>
          <w:bCs/>
          <w:color w:val="009682"/>
          <w:sz w:val="28"/>
          <w:szCs w:val="28"/>
        </w:rPr>
        <w:t>:</w:t>
      </w:r>
      <w:r w:rsidRPr="00661D8A">
        <w:rPr>
          <w:rFonts w:asciiTheme="minorBidi" w:hAnsiTheme="minorBidi" w:cstheme="minorBidi"/>
          <w:b/>
          <w:bCs/>
          <w:color w:val="009682"/>
          <w:sz w:val="28"/>
          <w:szCs w:val="28"/>
        </w:rPr>
        <w:t xml:space="preserve"> Map the outcomes to equity components and equity indicators</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List the outcome or impact incidence, measured for </w:t>
      </w:r>
      <w:proofErr w:type="spellStart"/>
      <w:r w:rsidRPr="00661D8A">
        <w:rPr>
          <w:rFonts w:asciiTheme="minorBidi" w:hAnsiTheme="minorBidi"/>
          <w:sz w:val="20"/>
          <w:szCs w:val="20"/>
        </w:rPr>
        <w:t>programme</w:t>
      </w:r>
      <w:proofErr w:type="spellEnd"/>
      <w:r w:rsidRPr="00661D8A">
        <w:rPr>
          <w:rFonts w:asciiTheme="minorBidi" w:hAnsiTheme="minorBidi"/>
          <w:sz w:val="20"/>
          <w:szCs w:val="20"/>
        </w:rPr>
        <w:t xml:space="preserve"> effectiveness, in your log frame (or Theory of Change (</w:t>
      </w:r>
      <w:proofErr w:type="spellStart"/>
      <w:r w:rsidRPr="00661D8A">
        <w:rPr>
          <w:rFonts w:asciiTheme="minorBidi" w:hAnsiTheme="minorBidi"/>
          <w:sz w:val="20"/>
          <w:szCs w:val="20"/>
        </w:rPr>
        <w:t>ToC</w:t>
      </w:r>
      <w:proofErr w:type="spellEnd"/>
      <w:r w:rsidRPr="00661D8A">
        <w:rPr>
          <w:rFonts w:asciiTheme="minorBidi" w:hAnsiTheme="minorBidi"/>
          <w:sz w:val="20"/>
          <w:szCs w:val="20"/>
        </w:rPr>
        <w:t xml:space="preserve">)). Next to each outcome, list the relevant chosen equity components. For example, if ‘improved primary school attainment’ is an outcome, it could be split by gender (‘out of the total number of beneficiaries experiencing improved primary school attainment, X% were girls’) or economic vulnerability (‘out of the total number of beneficiaries experiencing improved primary school attainment, X% were children at risk of food poverty’). </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You can map potential indicators for measuring equity next to each equity component. You can then use the data collected as part of the </w:t>
      </w:r>
      <w:proofErr w:type="spellStart"/>
      <w:r w:rsidRPr="00661D8A">
        <w:rPr>
          <w:rFonts w:asciiTheme="minorBidi" w:hAnsiTheme="minorBidi"/>
          <w:sz w:val="20"/>
          <w:szCs w:val="20"/>
        </w:rPr>
        <w:t>programme</w:t>
      </w:r>
      <w:proofErr w:type="spellEnd"/>
      <w:r w:rsidRPr="00661D8A">
        <w:rPr>
          <w:rFonts w:asciiTheme="minorBidi" w:hAnsiTheme="minorBidi"/>
          <w:sz w:val="20"/>
          <w:szCs w:val="20"/>
        </w:rPr>
        <w:t xml:space="preserve">; for example, the number of girls that attend school </w:t>
      </w:r>
      <w:proofErr w:type="gramStart"/>
      <w:r w:rsidRPr="00661D8A">
        <w:rPr>
          <w:rFonts w:asciiTheme="minorBidi" w:hAnsiTheme="minorBidi"/>
          <w:sz w:val="20"/>
          <w:szCs w:val="20"/>
        </w:rPr>
        <w:t>as a result</w:t>
      </w:r>
      <w:proofErr w:type="gramEnd"/>
      <w:r w:rsidRPr="00661D8A">
        <w:rPr>
          <w:rFonts w:asciiTheme="minorBidi" w:hAnsiTheme="minorBidi"/>
          <w:sz w:val="20"/>
          <w:szCs w:val="20"/>
        </w:rPr>
        <w:t xml:space="preserve"> of the intervention, or the income distribution of the </w:t>
      </w:r>
      <w:proofErr w:type="spellStart"/>
      <w:r w:rsidRPr="00661D8A">
        <w:rPr>
          <w:rFonts w:asciiTheme="minorBidi" w:hAnsiTheme="minorBidi"/>
          <w:sz w:val="20"/>
          <w:szCs w:val="20"/>
        </w:rPr>
        <w:t>programme</w:t>
      </w:r>
      <w:proofErr w:type="spellEnd"/>
      <w:r w:rsidRPr="00661D8A">
        <w:rPr>
          <w:rFonts w:asciiTheme="minorBidi" w:hAnsiTheme="minorBidi"/>
          <w:sz w:val="20"/>
          <w:szCs w:val="20"/>
        </w:rPr>
        <w:t xml:space="preserve"> beneficiaries. If </w:t>
      </w:r>
      <w:proofErr w:type="gramStart"/>
      <w:r w:rsidRPr="00661D8A">
        <w:rPr>
          <w:rFonts w:asciiTheme="minorBidi" w:hAnsiTheme="minorBidi"/>
          <w:sz w:val="20"/>
          <w:szCs w:val="20"/>
        </w:rPr>
        <w:t>your</w:t>
      </w:r>
      <w:proofErr w:type="gramEnd"/>
      <w:r w:rsidRPr="00661D8A">
        <w:rPr>
          <w:rFonts w:asciiTheme="minorBidi" w:hAnsiTheme="minorBidi"/>
          <w:sz w:val="20"/>
          <w:szCs w:val="20"/>
        </w:rPr>
        <w:t xml:space="preserve"> current M&amp;E system does not allow for such breakdown, you should plan for it at the planning stage of your intervention. </w:t>
      </w:r>
    </w:p>
    <w:p w:rsidR="005A5F0E" w:rsidRPr="00661D8A" w:rsidRDefault="005A5F0E" w:rsidP="00661D8A">
      <w:pPr>
        <w:pStyle w:val="Nadpis5"/>
        <w:rPr>
          <w:rFonts w:asciiTheme="minorBidi" w:hAnsiTheme="minorBidi" w:cstheme="minorBidi"/>
          <w:b/>
          <w:bCs/>
          <w:color w:val="009682"/>
          <w:sz w:val="28"/>
          <w:szCs w:val="28"/>
        </w:rPr>
      </w:pPr>
      <w:r w:rsidRPr="00661D8A">
        <w:rPr>
          <w:rFonts w:asciiTheme="minorBidi" w:hAnsiTheme="minorBidi" w:cstheme="minorBidi"/>
          <w:b/>
          <w:bCs/>
          <w:color w:val="009682"/>
          <w:sz w:val="28"/>
          <w:szCs w:val="28"/>
        </w:rPr>
        <w:t>Step 3</w:t>
      </w:r>
      <w:r w:rsidR="00661D8A">
        <w:rPr>
          <w:rFonts w:asciiTheme="minorBidi" w:hAnsiTheme="minorBidi" w:cstheme="minorBidi"/>
          <w:b/>
          <w:bCs/>
          <w:color w:val="009682"/>
          <w:sz w:val="28"/>
          <w:szCs w:val="28"/>
        </w:rPr>
        <w:t xml:space="preserve">: </w:t>
      </w:r>
      <w:r w:rsidRPr="00661D8A">
        <w:rPr>
          <w:rFonts w:asciiTheme="minorBidi" w:hAnsiTheme="minorBidi" w:cstheme="minorBidi"/>
          <w:b/>
          <w:bCs/>
          <w:color w:val="009682"/>
          <w:sz w:val="28"/>
          <w:szCs w:val="28"/>
        </w:rPr>
        <w:t>Find the outcome-level equity component proportion</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To find the breakdown of each outcome per equity component: </w:t>
      </w:r>
    </w:p>
    <w:p w:rsidR="005A5F0E" w:rsidRPr="00661D8A" w:rsidRDefault="005A5F0E" w:rsidP="005A5F0E">
      <w:pPr>
        <w:pStyle w:val="Bulletpoint"/>
        <w:numPr>
          <w:ilvl w:val="0"/>
          <w:numId w:val="3"/>
        </w:numPr>
        <w:rPr>
          <w:rFonts w:asciiTheme="minorBidi" w:hAnsiTheme="minorBidi" w:cstheme="minorBidi"/>
          <w:sz w:val="20"/>
          <w:szCs w:val="20"/>
        </w:rPr>
      </w:pPr>
      <w:r w:rsidRPr="00661D8A">
        <w:rPr>
          <w:rFonts w:asciiTheme="minorBidi" w:hAnsiTheme="minorBidi" w:cstheme="minorBidi"/>
          <w:b/>
          <w:sz w:val="20"/>
          <w:szCs w:val="20"/>
        </w:rPr>
        <w:t xml:space="preserve">If the outcome level equity indicator </w:t>
      </w:r>
      <w:proofErr w:type="gramStart"/>
      <w:r w:rsidRPr="00661D8A">
        <w:rPr>
          <w:rFonts w:asciiTheme="minorBidi" w:hAnsiTheme="minorBidi" w:cstheme="minorBidi"/>
          <w:b/>
          <w:sz w:val="20"/>
          <w:szCs w:val="20"/>
        </w:rPr>
        <w:t>is known</w:t>
      </w:r>
      <w:proofErr w:type="gramEnd"/>
      <w:r w:rsidRPr="00661D8A">
        <w:rPr>
          <w:rFonts w:asciiTheme="minorBidi" w:hAnsiTheme="minorBidi" w:cstheme="minorBidi"/>
          <w:sz w:val="20"/>
          <w:szCs w:val="20"/>
        </w:rPr>
        <w:t xml:space="preserve"> i.e. the gender split or economic vulnerability across the outcome beneficiaries. For example, if it is known that 40% of the children attending </w:t>
      </w:r>
      <w:r w:rsidRPr="00661D8A">
        <w:rPr>
          <w:rFonts w:asciiTheme="minorBidi" w:hAnsiTheme="minorBidi" w:cstheme="minorBidi"/>
          <w:sz w:val="20"/>
          <w:szCs w:val="20"/>
        </w:rPr>
        <w:lastRenderedPageBreak/>
        <w:t xml:space="preserve">school </w:t>
      </w:r>
      <w:proofErr w:type="gramStart"/>
      <w:r w:rsidRPr="00661D8A">
        <w:rPr>
          <w:rFonts w:asciiTheme="minorBidi" w:hAnsiTheme="minorBidi" w:cstheme="minorBidi"/>
          <w:sz w:val="20"/>
          <w:szCs w:val="20"/>
        </w:rPr>
        <w:t>as a result</w:t>
      </w:r>
      <w:proofErr w:type="gramEnd"/>
      <w:r w:rsidRPr="00661D8A">
        <w:rPr>
          <w:rFonts w:asciiTheme="minorBidi" w:hAnsiTheme="minorBidi" w:cstheme="minorBidi"/>
          <w:sz w:val="20"/>
          <w:szCs w:val="20"/>
        </w:rPr>
        <w:t xml:space="preserve"> of the programme are from households at risk of flood, then out of the total numbers of beneficiaries experiencing improved primary school attainment, 40% are at risk of flood. </w:t>
      </w:r>
      <w:bookmarkStart w:id="1" w:name="page46"/>
      <w:bookmarkEnd w:id="1"/>
    </w:p>
    <w:p w:rsidR="005A5F0E" w:rsidRPr="00661D8A" w:rsidRDefault="005A5F0E" w:rsidP="005A5F0E">
      <w:pPr>
        <w:pStyle w:val="Bulletpoint"/>
        <w:numPr>
          <w:ilvl w:val="0"/>
          <w:numId w:val="3"/>
        </w:numPr>
        <w:rPr>
          <w:rFonts w:asciiTheme="minorBidi" w:hAnsiTheme="minorBidi" w:cstheme="minorBidi"/>
          <w:sz w:val="20"/>
          <w:szCs w:val="20"/>
        </w:rPr>
      </w:pPr>
      <w:r w:rsidRPr="00661D8A">
        <w:rPr>
          <w:rFonts w:asciiTheme="minorBidi" w:hAnsiTheme="minorBidi" w:cstheme="minorBidi"/>
          <w:b/>
          <w:sz w:val="20"/>
          <w:szCs w:val="20"/>
        </w:rPr>
        <w:t xml:space="preserve">If the programme level equity indicator </w:t>
      </w:r>
      <w:proofErr w:type="gramStart"/>
      <w:r w:rsidRPr="00661D8A">
        <w:rPr>
          <w:rFonts w:asciiTheme="minorBidi" w:hAnsiTheme="minorBidi" w:cstheme="minorBidi"/>
          <w:b/>
          <w:sz w:val="20"/>
          <w:szCs w:val="20"/>
        </w:rPr>
        <w:t>is known</w:t>
      </w:r>
      <w:proofErr w:type="gramEnd"/>
      <w:r w:rsidRPr="00661D8A">
        <w:rPr>
          <w:rFonts w:asciiTheme="minorBidi" w:hAnsiTheme="minorBidi" w:cstheme="minorBidi"/>
          <w:sz w:val="20"/>
          <w:szCs w:val="20"/>
        </w:rPr>
        <w:t xml:space="preserve"> then these proportions can be used to estimate proportions for the outcome level. (For example, the gender split or economic vulnerability across the wider programme beneficiaries.) As such, the proportion of the beneficiaries in the equity component sub-group, at programme level, </w:t>
      </w:r>
      <w:proofErr w:type="gramStart"/>
      <w:r w:rsidRPr="00661D8A">
        <w:rPr>
          <w:rFonts w:asciiTheme="minorBidi" w:hAnsiTheme="minorBidi" w:cstheme="minorBidi"/>
          <w:sz w:val="20"/>
          <w:szCs w:val="20"/>
        </w:rPr>
        <w:t>is estimated</w:t>
      </w:r>
      <w:proofErr w:type="gramEnd"/>
      <w:r w:rsidRPr="00661D8A">
        <w:rPr>
          <w:rFonts w:asciiTheme="minorBidi" w:hAnsiTheme="minorBidi" w:cstheme="minorBidi"/>
          <w:sz w:val="20"/>
          <w:szCs w:val="20"/>
        </w:rPr>
        <w:t xml:space="preserve"> to be the same at outcome level. (For example, if it </w:t>
      </w:r>
      <w:proofErr w:type="gramStart"/>
      <w:r w:rsidRPr="00661D8A">
        <w:rPr>
          <w:rFonts w:asciiTheme="minorBidi" w:hAnsiTheme="minorBidi" w:cstheme="minorBidi"/>
          <w:sz w:val="20"/>
          <w:szCs w:val="20"/>
        </w:rPr>
        <w:t>is known</w:t>
      </w:r>
      <w:proofErr w:type="gramEnd"/>
      <w:r w:rsidRPr="00661D8A">
        <w:rPr>
          <w:rFonts w:asciiTheme="minorBidi" w:hAnsiTheme="minorBidi" w:cstheme="minorBidi"/>
          <w:sz w:val="20"/>
          <w:szCs w:val="20"/>
        </w:rPr>
        <w:t xml:space="preserve"> that 10% of programme beneficiaries are at risk of food poverty, then it could be estimated that out of the total number of beneficiaries experiencing improved primary school attainment, 10% were children at risk of food poverty.</w:t>
      </w:r>
    </w:p>
    <w:p w:rsidR="005A5F0E" w:rsidRPr="00661D8A" w:rsidRDefault="005A5F0E" w:rsidP="005A5F0E">
      <w:pPr>
        <w:pStyle w:val="Bulletpoint"/>
        <w:numPr>
          <w:ilvl w:val="0"/>
          <w:numId w:val="3"/>
        </w:numPr>
        <w:rPr>
          <w:rFonts w:asciiTheme="minorBidi" w:hAnsiTheme="minorBidi" w:cstheme="minorBidi"/>
          <w:sz w:val="20"/>
          <w:szCs w:val="20"/>
        </w:rPr>
      </w:pPr>
      <w:r w:rsidRPr="00661D8A">
        <w:rPr>
          <w:rFonts w:asciiTheme="minorBidi" w:hAnsiTheme="minorBidi" w:cstheme="minorBidi"/>
          <w:b/>
          <w:sz w:val="20"/>
          <w:szCs w:val="20"/>
        </w:rPr>
        <w:t xml:space="preserve">If the programme level equity indicator </w:t>
      </w:r>
      <w:proofErr w:type="gramStart"/>
      <w:r w:rsidRPr="00661D8A">
        <w:rPr>
          <w:rFonts w:asciiTheme="minorBidi" w:hAnsiTheme="minorBidi" w:cstheme="minorBidi"/>
          <w:b/>
          <w:sz w:val="20"/>
          <w:szCs w:val="20"/>
        </w:rPr>
        <w:t>is not known</w:t>
      </w:r>
      <w:proofErr w:type="gramEnd"/>
      <w:r w:rsidRPr="00661D8A">
        <w:rPr>
          <w:rFonts w:asciiTheme="minorBidi" w:hAnsiTheme="minorBidi" w:cstheme="minorBidi"/>
          <w:sz w:val="20"/>
          <w:szCs w:val="20"/>
        </w:rPr>
        <w:t xml:space="preserve"> then the population level proportions (or baselines) can be used to estimate proportions for the outcome incidence. </w:t>
      </w:r>
    </w:p>
    <w:p w:rsidR="00874246" w:rsidRPr="00661D8A" w:rsidRDefault="005A5F0E" w:rsidP="005A5F0E">
      <w:pPr>
        <w:pStyle w:val="Tertiarybulletpoint"/>
        <w:numPr>
          <w:ilvl w:val="0"/>
          <w:numId w:val="0"/>
        </w:numPr>
        <w:ind w:left="720"/>
        <w:rPr>
          <w:rFonts w:asciiTheme="minorBidi" w:hAnsiTheme="minorBidi" w:cstheme="minorBidi"/>
          <w:b/>
          <w:bCs/>
          <w:i/>
          <w:iCs/>
          <w:sz w:val="20"/>
          <w:szCs w:val="20"/>
          <w:u w:val="single"/>
        </w:rPr>
      </w:pPr>
      <w:r w:rsidRPr="00661D8A">
        <w:rPr>
          <w:rFonts w:asciiTheme="minorBidi" w:hAnsiTheme="minorBidi" w:cstheme="minorBidi"/>
          <w:sz w:val="20"/>
          <w:szCs w:val="20"/>
        </w:rPr>
        <w:t xml:space="preserve">For example, </w:t>
      </w:r>
      <w:proofErr w:type="gramStart"/>
      <w:r w:rsidRPr="00661D8A">
        <w:rPr>
          <w:rFonts w:asciiTheme="minorBidi" w:hAnsiTheme="minorBidi" w:cstheme="minorBidi"/>
          <w:sz w:val="20"/>
          <w:szCs w:val="20"/>
        </w:rPr>
        <w:t>using national datasets or secondary research,</w:t>
      </w:r>
      <w:proofErr w:type="gramEnd"/>
      <w:r w:rsidRPr="00661D8A">
        <w:rPr>
          <w:rFonts w:asciiTheme="minorBidi" w:hAnsiTheme="minorBidi" w:cstheme="minorBidi"/>
          <w:sz w:val="20"/>
          <w:szCs w:val="20"/>
        </w:rPr>
        <w:t xml:space="preserve"> </w:t>
      </w:r>
      <w:proofErr w:type="gramStart"/>
      <w:r w:rsidRPr="00661D8A">
        <w:rPr>
          <w:rFonts w:asciiTheme="minorBidi" w:hAnsiTheme="minorBidi" w:cstheme="minorBidi"/>
          <w:sz w:val="20"/>
          <w:szCs w:val="20"/>
        </w:rPr>
        <w:t>it</w:t>
      </w:r>
      <w:proofErr w:type="gramEnd"/>
      <w:r w:rsidRPr="00661D8A">
        <w:rPr>
          <w:rFonts w:asciiTheme="minorBidi" w:hAnsiTheme="minorBidi" w:cstheme="minorBidi"/>
          <w:sz w:val="20"/>
          <w:szCs w:val="20"/>
        </w:rPr>
        <w:t xml:space="preserve"> is found that 30% of children in the region attending primary school are girls. Then it </w:t>
      </w:r>
      <w:proofErr w:type="gramStart"/>
      <w:r w:rsidRPr="00661D8A">
        <w:rPr>
          <w:rFonts w:asciiTheme="minorBidi" w:hAnsiTheme="minorBidi" w:cstheme="minorBidi"/>
          <w:sz w:val="20"/>
          <w:szCs w:val="20"/>
        </w:rPr>
        <w:t>could be estimated</w:t>
      </w:r>
      <w:proofErr w:type="gramEnd"/>
      <w:r w:rsidRPr="00661D8A">
        <w:rPr>
          <w:rFonts w:asciiTheme="minorBidi" w:hAnsiTheme="minorBidi" w:cstheme="minorBidi"/>
          <w:sz w:val="20"/>
          <w:szCs w:val="20"/>
        </w:rPr>
        <w:t xml:space="preserve"> that out of the total number of beneficiaries experiencing improved primary school attainment, 30% were girls. Baselines for indicators </w:t>
      </w:r>
      <w:proofErr w:type="gramStart"/>
      <w:r w:rsidRPr="00661D8A">
        <w:rPr>
          <w:rFonts w:asciiTheme="minorBidi" w:hAnsiTheme="minorBidi" w:cstheme="minorBidi"/>
          <w:sz w:val="20"/>
          <w:szCs w:val="20"/>
        </w:rPr>
        <w:t>can be found</w:t>
      </w:r>
      <w:proofErr w:type="gramEnd"/>
      <w:r w:rsidRPr="00661D8A">
        <w:rPr>
          <w:rFonts w:asciiTheme="minorBidi" w:hAnsiTheme="minorBidi" w:cstheme="minorBidi"/>
          <w:sz w:val="20"/>
          <w:szCs w:val="20"/>
        </w:rPr>
        <w:t xml:space="preserve"> by searching for regional, or national, data in international databases such as:</w:t>
      </w:r>
      <w:r w:rsidR="00874246" w:rsidRPr="00661D8A">
        <w:rPr>
          <w:rFonts w:asciiTheme="minorBidi" w:hAnsiTheme="minorBidi" w:cstheme="minorBidi"/>
          <w:b/>
          <w:bCs/>
          <w:i/>
          <w:iCs/>
          <w:sz w:val="20"/>
          <w:szCs w:val="20"/>
          <w:u w:val="single"/>
        </w:rPr>
        <w:fldChar w:fldCharType="begin"/>
      </w:r>
      <w:r w:rsidR="00874246" w:rsidRPr="00661D8A">
        <w:rPr>
          <w:rFonts w:asciiTheme="minorBidi" w:hAnsiTheme="minorBidi" w:cstheme="minorBidi"/>
          <w:b/>
          <w:bCs/>
          <w:i/>
          <w:iCs/>
          <w:sz w:val="20"/>
          <w:szCs w:val="20"/>
          <w:u w:val="single"/>
        </w:rPr>
        <w:instrText xml:space="preserve"> HYPERLINK "</w:instrText>
      </w:r>
    </w:p>
    <w:p w:rsidR="00874246" w:rsidRPr="00661D8A" w:rsidRDefault="00874246" w:rsidP="005A5F0E">
      <w:pPr>
        <w:pStyle w:val="Tertiarybulletpoint"/>
        <w:numPr>
          <w:ilvl w:val="0"/>
          <w:numId w:val="0"/>
        </w:numPr>
        <w:ind w:left="720"/>
        <w:rPr>
          <w:rStyle w:val="Hypertextovodkaz"/>
          <w:rFonts w:asciiTheme="minorBidi" w:hAnsiTheme="minorBidi" w:cstheme="minorBidi"/>
          <w:b/>
          <w:bCs/>
          <w:i/>
          <w:iCs/>
          <w:sz w:val="20"/>
          <w:szCs w:val="20"/>
        </w:rPr>
      </w:pPr>
      <w:r w:rsidRPr="00661D8A">
        <w:rPr>
          <w:rFonts w:asciiTheme="minorBidi" w:hAnsiTheme="minorBidi" w:cstheme="minorBidi"/>
          <w:b/>
          <w:bCs/>
          <w:i/>
          <w:iCs/>
          <w:color w:val="0000FF"/>
          <w:sz w:val="20"/>
          <w:szCs w:val="20"/>
          <w:u w:val="single"/>
        </w:rPr>
        <w:instrText>http://knoema.com</w:instrText>
      </w:r>
      <w:r w:rsidRPr="00661D8A">
        <w:rPr>
          <w:rFonts w:asciiTheme="minorBidi" w:hAnsiTheme="minorBidi" w:cstheme="minorBidi"/>
          <w:b/>
          <w:bCs/>
          <w:i/>
          <w:iCs/>
          <w:sz w:val="20"/>
          <w:szCs w:val="20"/>
          <w:u w:val="single"/>
        </w:rPr>
        <w:instrText xml:space="preserve">" </w:instrText>
      </w:r>
      <w:r w:rsidRPr="00661D8A">
        <w:rPr>
          <w:rFonts w:asciiTheme="minorBidi" w:hAnsiTheme="minorBidi" w:cstheme="minorBidi"/>
          <w:b/>
          <w:bCs/>
          <w:i/>
          <w:iCs/>
          <w:sz w:val="20"/>
          <w:szCs w:val="20"/>
          <w:u w:val="single"/>
        </w:rPr>
        <w:fldChar w:fldCharType="separate"/>
      </w:r>
    </w:p>
    <w:p w:rsidR="005A5F0E" w:rsidRPr="00661D8A" w:rsidRDefault="00874246" w:rsidP="00874246">
      <w:pPr>
        <w:pStyle w:val="Tertiarybulletpoint"/>
        <w:numPr>
          <w:ilvl w:val="1"/>
          <w:numId w:val="7"/>
        </w:numPr>
        <w:rPr>
          <w:rFonts w:asciiTheme="minorBidi" w:hAnsiTheme="minorBidi" w:cstheme="minorBidi"/>
          <w:b/>
          <w:bCs/>
          <w:i/>
          <w:iCs/>
          <w:sz w:val="20"/>
          <w:szCs w:val="20"/>
          <w:u w:val="single"/>
        </w:rPr>
      </w:pPr>
      <w:r w:rsidRPr="00661D8A">
        <w:rPr>
          <w:rStyle w:val="Hypertextovodkaz"/>
          <w:rFonts w:asciiTheme="minorBidi" w:hAnsiTheme="minorBidi" w:cstheme="minorBidi"/>
          <w:b/>
          <w:bCs/>
          <w:i/>
          <w:iCs/>
          <w:color w:val="767171" w:themeColor="background2" w:themeShade="80"/>
          <w:sz w:val="20"/>
          <w:szCs w:val="20"/>
        </w:rPr>
        <w:t>http://knoema.com</w:t>
      </w:r>
      <w:r w:rsidRPr="00661D8A">
        <w:rPr>
          <w:rFonts w:asciiTheme="minorBidi" w:hAnsiTheme="minorBidi" w:cstheme="minorBidi"/>
          <w:b/>
          <w:bCs/>
          <w:i/>
          <w:iCs/>
          <w:sz w:val="20"/>
          <w:szCs w:val="20"/>
          <w:u w:val="single"/>
        </w:rPr>
        <w:fldChar w:fldCharType="end"/>
      </w:r>
      <w:r w:rsidR="005A5F0E" w:rsidRPr="00661D8A">
        <w:rPr>
          <w:rFonts w:asciiTheme="minorBidi" w:hAnsiTheme="minorBidi" w:cstheme="minorBidi"/>
          <w:b/>
          <w:bCs/>
          <w:i/>
          <w:iCs/>
          <w:color w:val="767171" w:themeColor="background2" w:themeShade="80"/>
          <w:sz w:val="20"/>
          <w:szCs w:val="20"/>
          <w:u w:val="single"/>
        </w:rPr>
        <w:t>/</w:t>
      </w:r>
    </w:p>
    <w:p w:rsidR="005A5F0E" w:rsidRPr="00661D8A" w:rsidRDefault="00661D8A" w:rsidP="00874246">
      <w:pPr>
        <w:pStyle w:val="Tertiarybulletpoint"/>
        <w:numPr>
          <w:ilvl w:val="1"/>
          <w:numId w:val="7"/>
        </w:numPr>
        <w:rPr>
          <w:rFonts w:asciiTheme="minorBidi" w:hAnsiTheme="minorBidi" w:cstheme="minorBidi"/>
          <w:b/>
          <w:bCs/>
          <w:i/>
          <w:iCs/>
          <w:sz w:val="20"/>
          <w:szCs w:val="20"/>
          <w:u w:val="single"/>
        </w:rPr>
      </w:pPr>
      <w:hyperlink r:id="rId5" w:history="1">
        <w:r w:rsidR="005A5F0E" w:rsidRPr="00661D8A">
          <w:rPr>
            <w:rStyle w:val="Hypertextovodkaz"/>
            <w:rFonts w:asciiTheme="minorBidi" w:hAnsiTheme="minorBidi" w:cstheme="minorBidi"/>
            <w:b/>
            <w:bCs/>
            <w:i/>
            <w:iCs/>
            <w:color w:val="767171" w:themeColor="background2" w:themeShade="80"/>
            <w:sz w:val="20"/>
            <w:szCs w:val="20"/>
          </w:rPr>
          <w:t>http://data.worldbank.org</w:t>
        </w:r>
      </w:hyperlink>
      <w:r w:rsidR="005A5F0E" w:rsidRPr="00661D8A">
        <w:rPr>
          <w:rFonts w:asciiTheme="minorBidi" w:hAnsiTheme="minorBidi" w:cstheme="minorBidi"/>
          <w:b/>
          <w:bCs/>
          <w:i/>
          <w:iCs/>
          <w:color w:val="767171" w:themeColor="background2" w:themeShade="80"/>
          <w:sz w:val="20"/>
          <w:szCs w:val="20"/>
          <w:u w:val="single"/>
        </w:rPr>
        <w:t>/</w:t>
      </w:r>
    </w:p>
    <w:p w:rsidR="005A5F0E" w:rsidRPr="00661D8A" w:rsidRDefault="00661D8A" w:rsidP="00874246">
      <w:pPr>
        <w:pStyle w:val="Tertiarybulletpoint"/>
        <w:numPr>
          <w:ilvl w:val="1"/>
          <w:numId w:val="7"/>
        </w:numPr>
        <w:rPr>
          <w:rFonts w:asciiTheme="minorBidi" w:hAnsiTheme="minorBidi" w:cstheme="minorBidi"/>
          <w:b/>
          <w:bCs/>
          <w:i/>
          <w:iCs/>
          <w:sz w:val="20"/>
          <w:szCs w:val="20"/>
          <w:u w:val="single"/>
        </w:rPr>
      </w:pPr>
      <w:hyperlink r:id="rId6" w:history="1">
        <w:r w:rsidR="005A5F0E" w:rsidRPr="00661D8A">
          <w:rPr>
            <w:rStyle w:val="Hypertextovodkaz"/>
            <w:rFonts w:asciiTheme="minorBidi" w:hAnsiTheme="minorBidi" w:cstheme="minorBidi"/>
            <w:b/>
            <w:bCs/>
            <w:i/>
            <w:iCs/>
            <w:color w:val="767171" w:themeColor="background2" w:themeShade="80"/>
            <w:sz w:val="20"/>
            <w:szCs w:val="20"/>
          </w:rPr>
          <w:t>http://www.who.int/gho/en</w:t>
        </w:r>
      </w:hyperlink>
      <w:r w:rsidR="005A5F0E" w:rsidRPr="00661D8A">
        <w:rPr>
          <w:rFonts w:asciiTheme="minorBidi" w:hAnsiTheme="minorBidi" w:cstheme="minorBidi"/>
          <w:b/>
          <w:bCs/>
          <w:i/>
          <w:iCs/>
          <w:color w:val="767171" w:themeColor="background2" w:themeShade="80"/>
          <w:sz w:val="20"/>
          <w:szCs w:val="20"/>
          <w:u w:val="single"/>
        </w:rPr>
        <w:t>/</w:t>
      </w:r>
      <w:r w:rsidR="005A5F0E" w:rsidRPr="00661D8A">
        <w:rPr>
          <w:rFonts w:asciiTheme="minorBidi" w:hAnsiTheme="minorBidi" w:cstheme="minorBidi"/>
          <w:b/>
          <w:bCs/>
          <w:i/>
          <w:iCs/>
          <w:sz w:val="20"/>
          <w:szCs w:val="20"/>
          <w:u w:val="single"/>
        </w:rPr>
        <w:t xml:space="preserve"> </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National offices of statistics, academic research or reports from other </w:t>
      </w:r>
      <w:proofErr w:type="spellStart"/>
      <w:r w:rsidRPr="00661D8A">
        <w:rPr>
          <w:rFonts w:asciiTheme="minorBidi" w:hAnsiTheme="minorBidi"/>
          <w:sz w:val="20"/>
          <w:szCs w:val="20"/>
        </w:rPr>
        <w:t>organisations</w:t>
      </w:r>
      <w:proofErr w:type="spellEnd"/>
      <w:r w:rsidRPr="00661D8A">
        <w:rPr>
          <w:rFonts w:asciiTheme="minorBidi" w:hAnsiTheme="minorBidi"/>
          <w:sz w:val="20"/>
          <w:szCs w:val="20"/>
        </w:rPr>
        <w:t xml:space="preserve"> are also good sources of data. </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The following steps are only relevant if the outcome or </w:t>
      </w:r>
      <w:proofErr w:type="spellStart"/>
      <w:r w:rsidRPr="00661D8A">
        <w:rPr>
          <w:rFonts w:asciiTheme="minorBidi" w:hAnsiTheme="minorBidi"/>
          <w:sz w:val="20"/>
          <w:szCs w:val="20"/>
        </w:rPr>
        <w:t>programme</w:t>
      </w:r>
      <w:proofErr w:type="spellEnd"/>
      <w:r w:rsidRPr="00661D8A">
        <w:rPr>
          <w:rFonts w:asciiTheme="minorBidi" w:hAnsiTheme="minorBidi"/>
          <w:sz w:val="20"/>
          <w:szCs w:val="20"/>
        </w:rPr>
        <w:t xml:space="preserve"> level indicator </w:t>
      </w:r>
      <w:proofErr w:type="gramStart"/>
      <w:r w:rsidRPr="00661D8A">
        <w:rPr>
          <w:rFonts w:asciiTheme="minorBidi" w:hAnsiTheme="minorBidi"/>
          <w:sz w:val="20"/>
          <w:szCs w:val="20"/>
        </w:rPr>
        <w:t>is known</w:t>
      </w:r>
      <w:proofErr w:type="gramEnd"/>
      <w:r w:rsidRPr="00661D8A">
        <w:rPr>
          <w:rFonts w:asciiTheme="minorBidi" w:hAnsiTheme="minorBidi"/>
          <w:sz w:val="20"/>
          <w:szCs w:val="20"/>
        </w:rPr>
        <w:t xml:space="preserve"> (meaning that Steps 3a or 3b were used).</w:t>
      </w:r>
    </w:p>
    <w:p w:rsidR="005A5F0E" w:rsidRPr="00661D8A" w:rsidRDefault="005A5F0E" w:rsidP="005A5F0E">
      <w:pPr>
        <w:widowControl w:val="0"/>
        <w:autoSpaceDE w:val="0"/>
        <w:autoSpaceDN w:val="0"/>
        <w:adjustRightInd w:val="0"/>
        <w:spacing w:after="0" w:line="159" w:lineRule="exact"/>
        <w:rPr>
          <w:rFonts w:asciiTheme="minorBidi" w:hAnsiTheme="minorBidi"/>
        </w:rPr>
      </w:pPr>
    </w:p>
    <w:p w:rsidR="005A5F0E" w:rsidRPr="00661D8A" w:rsidRDefault="005A5F0E" w:rsidP="00661D8A">
      <w:pPr>
        <w:pStyle w:val="Nadpis5"/>
        <w:rPr>
          <w:rFonts w:asciiTheme="minorBidi" w:hAnsiTheme="minorBidi" w:cstheme="minorBidi"/>
          <w:b/>
          <w:bCs/>
          <w:color w:val="009682"/>
          <w:sz w:val="28"/>
          <w:szCs w:val="28"/>
        </w:rPr>
      </w:pPr>
      <w:r w:rsidRPr="00661D8A">
        <w:rPr>
          <w:rFonts w:asciiTheme="minorBidi" w:hAnsiTheme="minorBidi" w:cstheme="minorBidi"/>
          <w:b/>
          <w:bCs/>
          <w:color w:val="009682"/>
          <w:sz w:val="28"/>
          <w:szCs w:val="28"/>
        </w:rPr>
        <w:t>Step 4</w:t>
      </w:r>
      <w:r w:rsidR="00661D8A">
        <w:rPr>
          <w:rFonts w:asciiTheme="minorBidi" w:hAnsiTheme="minorBidi" w:cstheme="minorBidi"/>
          <w:b/>
          <w:bCs/>
          <w:color w:val="009682"/>
          <w:sz w:val="28"/>
          <w:szCs w:val="28"/>
        </w:rPr>
        <w:t>:</w:t>
      </w:r>
      <w:r w:rsidRPr="00661D8A">
        <w:rPr>
          <w:rFonts w:asciiTheme="minorBidi" w:hAnsiTheme="minorBidi" w:cstheme="minorBidi"/>
          <w:b/>
          <w:bCs/>
          <w:color w:val="009682"/>
          <w:sz w:val="28"/>
          <w:szCs w:val="28"/>
        </w:rPr>
        <w:t xml:space="preserve"> Identify the regional or national baseline</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Baselines for indicators </w:t>
      </w:r>
      <w:proofErr w:type="gramStart"/>
      <w:r w:rsidRPr="00661D8A">
        <w:rPr>
          <w:rFonts w:asciiTheme="minorBidi" w:hAnsiTheme="minorBidi"/>
          <w:sz w:val="20"/>
          <w:szCs w:val="20"/>
        </w:rPr>
        <w:t>can be found</w:t>
      </w:r>
      <w:proofErr w:type="gramEnd"/>
      <w:r w:rsidRPr="00661D8A">
        <w:rPr>
          <w:rFonts w:asciiTheme="minorBidi" w:hAnsiTheme="minorBidi"/>
          <w:sz w:val="20"/>
          <w:szCs w:val="20"/>
        </w:rPr>
        <w:t xml:space="preserve"> by searching for regional or national data in international databases, such as those listed above. </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National offices of statistics, academic research or reports from other </w:t>
      </w:r>
      <w:proofErr w:type="spellStart"/>
      <w:r w:rsidRPr="00661D8A">
        <w:rPr>
          <w:rFonts w:asciiTheme="minorBidi" w:hAnsiTheme="minorBidi"/>
          <w:sz w:val="20"/>
          <w:szCs w:val="20"/>
        </w:rPr>
        <w:t>organisations</w:t>
      </w:r>
      <w:proofErr w:type="spellEnd"/>
      <w:r w:rsidRPr="00661D8A">
        <w:rPr>
          <w:rFonts w:asciiTheme="minorBidi" w:hAnsiTheme="minorBidi"/>
          <w:sz w:val="20"/>
          <w:szCs w:val="20"/>
        </w:rPr>
        <w:t xml:space="preserve"> are also good sources of data. Ensure the baseline and indicator are entered in the same unit (for example: </w:t>
      </w:r>
      <w:proofErr w:type="gramStart"/>
      <w:r w:rsidRPr="00661D8A">
        <w:rPr>
          <w:rFonts w:asciiTheme="minorBidi" w:hAnsiTheme="minorBidi"/>
          <w:sz w:val="20"/>
          <w:szCs w:val="20"/>
        </w:rPr>
        <w:t>%</w:t>
      </w:r>
      <w:proofErr w:type="gramEnd"/>
      <w:r w:rsidRPr="00661D8A">
        <w:rPr>
          <w:rFonts w:asciiTheme="minorBidi" w:hAnsiTheme="minorBidi"/>
          <w:sz w:val="20"/>
          <w:szCs w:val="20"/>
        </w:rPr>
        <w:t xml:space="preserve">, hectares, and so on). </w:t>
      </w:r>
    </w:p>
    <w:p w:rsidR="005A5F0E" w:rsidRPr="00661D8A" w:rsidRDefault="005A5F0E" w:rsidP="00661D8A">
      <w:pPr>
        <w:pStyle w:val="Nadpis5"/>
        <w:rPr>
          <w:rFonts w:asciiTheme="minorBidi" w:hAnsiTheme="minorBidi" w:cstheme="minorBidi"/>
          <w:b/>
          <w:bCs/>
          <w:color w:val="009682"/>
          <w:sz w:val="28"/>
          <w:szCs w:val="28"/>
        </w:rPr>
      </w:pPr>
      <w:r w:rsidRPr="00661D8A">
        <w:rPr>
          <w:rFonts w:asciiTheme="minorBidi" w:hAnsiTheme="minorBidi" w:cstheme="minorBidi"/>
          <w:b/>
          <w:bCs/>
          <w:color w:val="009682"/>
          <w:sz w:val="28"/>
          <w:szCs w:val="28"/>
        </w:rPr>
        <w:t>Step 5</w:t>
      </w:r>
      <w:r w:rsidR="00661D8A">
        <w:rPr>
          <w:rFonts w:asciiTheme="minorBidi" w:hAnsiTheme="minorBidi" w:cstheme="minorBidi"/>
          <w:b/>
          <w:bCs/>
          <w:color w:val="009682"/>
          <w:sz w:val="28"/>
          <w:szCs w:val="28"/>
        </w:rPr>
        <w:t xml:space="preserve">: </w:t>
      </w:r>
      <w:bookmarkStart w:id="2" w:name="_GoBack"/>
      <w:bookmarkEnd w:id="2"/>
      <w:r w:rsidRPr="00661D8A">
        <w:rPr>
          <w:rFonts w:asciiTheme="minorBidi" w:hAnsiTheme="minorBidi" w:cstheme="minorBidi"/>
          <w:b/>
          <w:bCs/>
          <w:color w:val="009682"/>
          <w:sz w:val="28"/>
          <w:szCs w:val="28"/>
        </w:rPr>
        <w:t>Compare results</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The baseline number is the equity indicator that you would expect if no additional equity considerations </w:t>
      </w:r>
      <w:proofErr w:type="gramStart"/>
      <w:r w:rsidRPr="00661D8A">
        <w:rPr>
          <w:rFonts w:asciiTheme="minorBidi" w:hAnsiTheme="minorBidi"/>
          <w:sz w:val="20"/>
          <w:szCs w:val="20"/>
        </w:rPr>
        <w:t>were taken</w:t>
      </w:r>
      <w:proofErr w:type="gramEnd"/>
      <w:r w:rsidRPr="00661D8A">
        <w:rPr>
          <w:rFonts w:asciiTheme="minorBidi" w:hAnsiTheme="minorBidi"/>
          <w:sz w:val="20"/>
          <w:szCs w:val="20"/>
        </w:rPr>
        <w:t xml:space="preserve"> into account. Therefore, for each equity component, take the difference between the (estimated) outcome equity indicator (found in Step 3) and the baseline equity indicator (found in Step 4):</w:t>
      </w:r>
    </w:p>
    <w:p w:rsidR="005A5F0E" w:rsidRPr="00661D8A" w:rsidRDefault="005A5F0E" w:rsidP="005A5F0E">
      <w:pPr>
        <w:pStyle w:val="Bulletpoint"/>
        <w:rPr>
          <w:rFonts w:asciiTheme="minorBidi" w:hAnsiTheme="minorBidi" w:cstheme="minorBidi"/>
          <w:sz w:val="20"/>
          <w:szCs w:val="20"/>
        </w:rPr>
      </w:pPr>
      <w:r w:rsidRPr="00661D8A">
        <w:rPr>
          <w:rFonts w:asciiTheme="minorBidi" w:hAnsiTheme="minorBidi" w:cstheme="minorBidi"/>
          <w:sz w:val="20"/>
          <w:szCs w:val="20"/>
        </w:rPr>
        <w:t xml:space="preserve">If the difference between the programme indicator and baseline is </w:t>
      </w:r>
      <w:r w:rsidRPr="00661D8A">
        <w:rPr>
          <w:rFonts w:asciiTheme="minorBidi" w:hAnsiTheme="minorBidi" w:cstheme="minorBidi"/>
          <w:b/>
          <w:bCs/>
          <w:sz w:val="20"/>
          <w:szCs w:val="20"/>
        </w:rPr>
        <w:t>positive</w:t>
      </w:r>
      <w:r w:rsidRPr="00661D8A">
        <w:rPr>
          <w:rFonts w:asciiTheme="minorBidi" w:hAnsiTheme="minorBidi" w:cstheme="minorBidi"/>
          <w:sz w:val="20"/>
          <w:szCs w:val="20"/>
        </w:rPr>
        <w:t xml:space="preserve">, there has been a positive equity bias in the programme (meaning that the programme has specifically advantaged </w:t>
      </w:r>
      <w:proofErr w:type="gramStart"/>
      <w:r w:rsidRPr="00661D8A">
        <w:rPr>
          <w:rFonts w:asciiTheme="minorBidi" w:hAnsiTheme="minorBidi" w:cstheme="minorBidi"/>
          <w:sz w:val="20"/>
          <w:szCs w:val="20"/>
        </w:rPr>
        <w:t>more vulnerable groups in the population</w:t>
      </w:r>
      <w:proofErr w:type="gramEnd"/>
      <w:r w:rsidRPr="00661D8A">
        <w:rPr>
          <w:rFonts w:asciiTheme="minorBidi" w:hAnsiTheme="minorBidi" w:cstheme="minorBidi"/>
          <w:sz w:val="20"/>
          <w:szCs w:val="20"/>
        </w:rPr>
        <w:t xml:space="preserve">). </w:t>
      </w:r>
    </w:p>
    <w:p w:rsidR="005A5F0E" w:rsidRPr="00661D8A" w:rsidRDefault="005A5F0E" w:rsidP="005A5F0E">
      <w:pPr>
        <w:rPr>
          <w:rFonts w:asciiTheme="minorBidi" w:hAnsiTheme="minorBidi"/>
          <w:sz w:val="20"/>
          <w:szCs w:val="20"/>
        </w:rPr>
      </w:pPr>
      <w:r w:rsidRPr="00661D8A">
        <w:rPr>
          <w:rFonts w:asciiTheme="minorBidi" w:hAnsiTheme="minorBidi"/>
          <w:sz w:val="20"/>
          <w:szCs w:val="20"/>
        </w:rPr>
        <w:t xml:space="preserve">If the difference between the </w:t>
      </w:r>
      <w:proofErr w:type="spellStart"/>
      <w:r w:rsidRPr="00661D8A">
        <w:rPr>
          <w:rFonts w:asciiTheme="minorBidi" w:hAnsiTheme="minorBidi"/>
          <w:sz w:val="20"/>
          <w:szCs w:val="20"/>
        </w:rPr>
        <w:t>programme</w:t>
      </w:r>
      <w:proofErr w:type="spellEnd"/>
      <w:r w:rsidRPr="00661D8A">
        <w:rPr>
          <w:rFonts w:asciiTheme="minorBidi" w:hAnsiTheme="minorBidi"/>
          <w:sz w:val="20"/>
          <w:szCs w:val="20"/>
        </w:rPr>
        <w:t xml:space="preserve"> indicator and baseline is </w:t>
      </w:r>
      <w:r w:rsidRPr="00661D8A">
        <w:rPr>
          <w:rFonts w:asciiTheme="minorBidi" w:hAnsiTheme="minorBidi"/>
          <w:b/>
          <w:bCs/>
          <w:sz w:val="20"/>
          <w:szCs w:val="20"/>
        </w:rPr>
        <w:t>negative</w:t>
      </w:r>
      <w:r w:rsidRPr="00661D8A">
        <w:rPr>
          <w:rFonts w:asciiTheme="minorBidi" w:hAnsiTheme="minorBidi"/>
          <w:sz w:val="20"/>
          <w:szCs w:val="20"/>
        </w:rPr>
        <w:t xml:space="preserve">, the </w:t>
      </w:r>
      <w:proofErr w:type="spellStart"/>
      <w:r w:rsidRPr="00661D8A">
        <w:rPr>
          <w:rFonts w:asciiTheme="minorBidi" w:hAnsiTheme="minorBidi"/>
          <w:sz w:val="20"/>
          <w:szCs w:val="20"/>
        </w:rPr>
        <w:t>programme</w:t>
      </w:r>
      <w:proofErr w:type="spellEnd"/>
      <w:r w:rsidRPr="00661D8A">
        <w:rPr>
          <w:rFonts w:asciiTheme="minorBidi" w:hAnsiTheme="minorBidi"/>
          <w:sz w:val="20"/>
          <w:szCs w:val="20"/>
        </w:rPr>
        <w:t xml:space="preserve"> has not specifically advantaged </w:t>
      </w:r>
      <w:proofErr w:type="gramStart"/>
      <w:r w:rsidRPr="00661D8A">
        <w:rPr>
          <w:rFonts w:asciiTheme="minorBidi" w:hAnsiTheme="minorBidi"/>
          <w:sz w:val="20"/>
          <w:szCs w:val="20"/>
        </w:rPr>
        <w:t>more vulnerable groups in the population</w:t>
      </w:r>
      <w:proofErr w:type="gramEnd"/>
      <w:r w:rsidRPr="00661D8A">
        <w:rPr>
          <w:rFonts w:asciiTheme="minorBidi" w:hAnsiTheme="minorBidi"/>
          <w:sz w:val="20"/>
          <w:szCs w:val="20"/>
        </w:rPr>
        <w:t xml:space="preserve">. Instead, this suggests the </w:t>
      </w:r>
      <w:proofErr w:type="spellStart"/>
      <w:r w:rsidRPr="00661D8A">
        <w:rPr>
          <w:rFonts w:asciiTheme="minorBidi" w:hAnsiTheme="minorBidi"/>
          <w:sz w:val="20"/>
          <w:szCs w:val="20"/>
        </w:rPr>
        <w:t>programme</w:t>
      </w:r>
      <w:proofErr w:type="spellEnd"/>
      <w:r w:rsidRPr="00661D8A">
        <w:rPr>
          <w:rFonts w:asciiTheme="minorBidi" w:hAnsiTheme="minorBidi"/>
          <w:sz w:val="20"/>
          <w:szCs w:val="20"/>
        </w:rPr>
        <w:t xml:space="preserve"> may have disproportionally advantaged the most ‘easy to reach’, or least vulnerable in the population.</w:t>
      </w:r>
    </w:p>
    <w:p w:rsidR="00026992" w:rsidRPr="00661D8A" w:rsidRDefault="00661D8A">
      <w:pPr>
        <w:rPr>
          <w:rFonts w:asciiTheme="minorBidi" w:hAnsiTheme="minorBidi"/>
        </w:rPr>
      </w:pPr>
    </w:p>
    <w:sectPr w:rsidR="00026992" w:rsidRPr="00661D8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213"/>
    <w:multiLevelType w:val="hybridMultilevel"/>
    <w:tmpl w:val="68F89210"/>
    <w:lvl w:ilvl="0" w:tplc="934EC0DA">
      <w:start w:val="1"/>
      <w:numFmt w:val="bullet"/>
      <w:lvlText w:val=""/>
      <w:lvlJc w:val="left"/>
      <w:pPr>
        <w:ind w:left="720" w:hanging="360"/>
      </w:pPr>
      <w:rPr>
        <w:rFonts w:ascii="Symbol" w:hAnsi="Symbol" w:hint="default"/>
        <w:color w:val="4F324C"/>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82EBD10">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D4370"/>
    <w:multiLevelType w:val="hybridMultilevel"/>
    <w:tmpl w:val="EE1EB23E"/>
    <w:lvl w:ilvl="0" w:tplc="9DF8B5DA">
      <w:start w:val="1"/>
      <w:numFmt w:val="bullet"/>
      <w:lvlText w:val="̶"/>
      <w:lvlJc w:val="left"/>
      <w:pPr>
        <w:ind w:left="720" w:hanging="360"/>
      </w:pPr>
      <w:rPr>
        <w:rFonts w:ascii="Calibri" w:hAnsi="Calibri" w:hint="default"/>
        <w:color w:val="4F324C"/>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82EBD10">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C7A5A"/>
    <w:multiLevelType w:val="hybridMultilevel"/>
    <w:tmpl w:val="38EAF452"/>
    <w:lvl w:ilvl="0" w:tplc="1D1E8122">
      <w:start w:val="1"/>
      <w:numFmt w:val="bullet"/>
      <w:lvlText w:val=""/>
      <w:lvlJc w:val="left"/>
      <w:pPr>
        <w:ind w:left="1440" w:hanging="360"/>
      </w:pPr>
      <w:rPr>
        <w:rFonts w:ascii="Wingdings" w:hAnsi="Wingdings" w:hint="default"/>
        <w:color w:val="4F324C"/>
        <w:sz w:val="22"/>
      </w:rPr>
    </w:lvl>
    <w:lvl w:ilvl="1" w:tplc="3098AD40">
      <w:start w:val="1"/>
      <w:numFmt w:val="bullet"/>
      <w:lvlText w:val="̶"/>
      <w:lvlJc w:val="left"/>
      <w:pPr>
        <w:ind w:left="2160" w:hanging="360"/>
      </w:pPr>
      <w:rPr>
        <w:rFonts w:ascii="Calibri" w:hAnsi="Calibri" w:cs="Calibri" w:hint="default"/>
        <w:color w:val="767171" w:themeColor="background2" w:themeShade="80"/>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C701BA"/>
    <w:multiLevelType w:val="hybridMultilevel"/>
    <w:tmpl w:val="C29431A4"/>
    <w:lvl w:ilvl="0" w:tplc="7AC0AF72">
      <w:start w:val="1"/>
      <w:numFmt w:val="bullet"/>
      <w:pStyle w:val="Bulletpoint"/>
      <w:lvlText w:val="̶"/>
      <w:lvlJc w:val="left"/>
      <w:pPr>
        <w:ind w:left="720" w:hanging="360"/>
      </w:pPr>
      <w:rPr>
        <w:rFonts w:ascii="Calibri" w:hAnsi="Calibri" w:cs="Calibri" w:hint="default"/>
        <w:color w:val="009682"/>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82EBD10">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A6A49"/>
    <w:multiLevelType w:val="hybridMultilevel"/>
    <w:tmpl w:val="A4CCB2F2"/>
    <w:lvl w:ilvl="0" w:tplc="F9303BC4">
      <w:start w:val="1"/>
      <w:numFmt w:val="bullet"/>
      <w:lvlText w:val=""/>
      <w:lvlJc w:val="left"/>
      <w:pPr>
        <w:ind w:left="720" w:hanging="360"/>
      </w:pPr>
      <w:rPr>
        <w:rFonts w:ascii="Symbol" w:hAnsi="Symbol" w:hint="default"/>
        <w:color w:val="4F324C"/>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82EBD10">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478C0"/>
    <w:multiLevelType w:val="hybridMultilevel"/>
    <w:tmpl w:val="C76606FA"/>
    <w:lvl w:ilvl="0" w:tplc="1D1E8122">
      <w:start w:val="1"/>
      <w:numFmt w:val="bullet"/>
      <w:pStyle w:val="Tertiarybulletpoint"/>
      <w:lvlText w:val=""/>
      <w:lvlJc w:val="left"/>
      <w:pPr>
        <w:ind w:left="1440" w:hanging="360"/>
      </w:pPr>
      <w:rPr>
        <w:rFonts w:ascii="Wingdings" w:hAnsi="Wingdings" w:hint="default"/>
        <w:color w:val="4F324C"/>
        <w:sz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C71D8D"/>
    <w:multiLevelType w:val="hybridMultilevel"/>
    <w:tmpl w:val="CF46311E"/>
    <w:lvl w:ilvl="0" w:tplc="08090017">
      <w:start w:val="1"/>
      <w:numFmt w:val="lowerLetter"/>
      <w:lvlText w:val="%1)"/>
      <w:lvlJc w:val="left"/>
      <w:pPr>
        <w:ind w:left="720" w:hanging="360"/>
      </w:pPr>
      <w:rPr>
        <w:rFonts w:hint="default"/>
        <w:color w:val="4F324C"/>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82EBD10">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0E"/>
    <w:rsid w:val="005A5F0E"/>
    <w:rsid w:val="005F67C0"/>
    <w:rsid w:val="00661D8A"/>
    <w:rsid w:val="00874246"/>
    <w:rsid w:val="00A56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98BF"/>
  <w15:chartTrackingRefBased/>
  <w15:docId w15:val="{AB962C15-BB87-4324-BCBB-455857C8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5F0E"/>
  </w:style>
  <w:style w:type="paragraph" w:styleId="Nadpis3">
    <w:name w:val="heading 3"/>
    <w:basedOn w:val="Normln"/>
    <w:next w:val="Normln"/>
    <w:link w:val="Nadpis3Char"/>
    <w:uiPriority w:val="9"/>
    <w:unhideWhenUsed/>
    <w:qFormat/>
    <w:rsid w:val="005A5F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5A5F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A5F0E"/>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semiHidden/>
    <w:rsid w:val="005A5F0E"/>
    <w:rPr>
      <w:rFonts w:asciiTheme="majorHAnsi" w:eastAsiaTheme="majorEastAsia" w:hAnsiTheme="majorHAnsi" w:cstheme="majorBidi"/>
      <w:color w:val="2E74B5" w:themeColor="accent1" w:themeShade="BF"/>
    </w:rPr>
  </w:style>
  <w:style w:type="character" w:styleId="Hypertextovodkaz">
    <w:name w:val="Hyperlink"/>
    <w:basedOn w:val="Standardnpsmoodstavce"/>
    <w:uiPriority w:val="99"/>
    <w:unhideWhenUsed/>
    <w:rsid w:val="005A5F0E"/>
    <w:rPr>
      <w:color w:val="0563C1" w:themeColor="hyperlink"/>
      <w:u w:val="single"/>
    </w:rPr>
  </w:style>
  <w:style w:type="paragraph" w:customStyle="1" w:styleId="Bulletpoint">
    <w:name w:val="Bullet point"/>
    <w:basedOn w:val="Normln"/>
    <w:link w:val="BulletpointChar"/>
    <w:qFormat/>
    <w:rsid w:val="005A5F0E"/>
    <w:pPr>
      <w:numPr>
        <w:numId w:val="6"/>
      </w:numPr>
      <w:spacing w:after="120" w:line="276" w:lineRule="auto"/>
    </w:pPr>
    <w:rPr>
      <w:rFonts w:ascii="Arial" w:hAnsi="Arial" w:cs="Arial"/>
      <w:lang w:val="en-GB"/>
    </w:rPr>
  </w:style>
  <w:style w:type="character" w:customStyle="1" w:styleId="BulletpointChar">
    <w:name w:val="Bullet point Char"/>
    <w:basedOn w:val="Standardnpsmoodstavce"/>
    <w:link w:val="Bulletpoint"/>
    <w:rsid w:val="005A5F0E"/>
    <w:rPr>
      <w:rFonts w:ascii="Arial" w:hAnsi="Arial" w:cs="Arial"/>
      <w:lang w:val="en-GB"/>
    </w:rPr>
  </w:style>
  <w:style w:type="paragraph" w:customStyle="1" w:styleId="Tertiarybulletpoint">
    <w:name w:val="Tertiary bullet point"/>
    <w:basedOn w:val="Bulletpoint"/>
    <w:link w:val="TertiarybulletpointChar"/>
    <w:qFormat/>
    <w:rsid w:val="005A5F0E"/>
    <w:pPr>
      <w:numPr>
        <w:numId w:val="2"/>
      </w:numPr>
    </w:pPr>
  </w:style>
  <w:style w:type="character" w:customStyle="1" w:styleId="TertiarybulletpointChar">
    <w:name w:val="Tertiary bullet point Char"/>
    <w:basedOn w:val="BulletpointChar"/>
    <w:link w:val="Tertiarybulletpoint"/>
    <w:rsid w:val="005A5F0E"/>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gho/en" TargetMode="External"/><Relationship Id="rId5" Type="http://schemas.openxmlformats.org/officeDocument/2006/relationships/hyperlink" Target="http://data.worldban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965</Words>
  <Characters>5698</Characters>
  <Application>Microsoft Office Word</Application>
  <DocSecurity>0</DocSecurity>
  <Lines>47</Lines>
  <Paragraphs>13</Paragraphs>
  <ScaleCrop>false</ScaleCrop>
  <Company>PIN</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Vrána Karel</dc:creator>
  <cp:keywords/>
  <dc:description/>
  <cp:lastModifiedBy>Nina Damová</cp:lastModifiedBy>
  <cp:revision>3</cp:revision>
  <dcterms:created xsi:type="dcterms:W3CDTF">2017-12-11T12:14:00Z</dcterms:created>
  <dcterms:modified xsi:type="dcterms:W3CDTF">2017-12-13T14:20:00Z</dcterms:modified>
</cp:coreProperties>
</file>